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B1" w:rsidRPr="000411B1" w:rsidRDefault="000411B1" w:rsidP="000411B1">
      <w:pPr>
        <w:tabs>
          <w:tab w:val="left" w:pos="630"/>
        </w:tabs>
        <w:rPr>
          <w:rFonts w:ascii="Times New Roman" w:hAnsi="Times New Roman" w:cs="Times New Roman"/>
          <w:color w:val="000000" w:themeColor="text1"/>
        </w:rPr>
      </w:pPr>
      <w:r w:rsidRPr="000411B1">
        <w:rPr>
          <w:rFonts w:ascii="Times New Roman" w:hAnsi="Times New Roman" w:cs="Times New Roman"/>
          <w:color w:val="000000" w:themeColor="text1"/>
        </w:rPr>
        <w:t>Microbiology Case 66 (Nervous System Infections)</w:t>
      </w:r>
    </w:p>
    <w:p w:rsidR="000411B1" w:rsidRPr="000411B1" w:rsidRDefault="000411B1" w:rsidP="000411B1">
      <w:pPr>
        <w:spacing w:after="170"/>
        <w:contextualSpacing/>
        <w:rPr>
          <w:rFonts w:ascii="Times New Roman" w:hAnsi="Times New Roman" w:cs="Times New Roman"/>
          <w:b/>
        </w:rPr>
      </w:pPr>
    </w:p>
    <w:p w:rsidR="000411B1" w:rsidRPr="000411B1" w:rsidRDefault="000411B1" w:rsidP="000411B1">
      <w:pPr>
        <w:pStyle w:val="Default"/>
        <w:spacing w:after="170"/>
        <w:ind w:left="360"/>
        <w:contextualSpacing/>
      </w:pPr>
    </w:p>
    <w:p w:rsidR="000411B1" w:rsidRPr="000411B1" w:rsidRDefault="000411B1" w:rsidP="000411B1">
      <w:pPr>
        <w:pStyle w:val="Default"/>
        <w:numPr>
          <w:ilvl w:val="0"/>
          <w:numId w:val="1"/>
        </w:numPr>
        <w:spacing w:after="170"/>
        <w:ind w:left="360" w:hanging="360"/>
        <w:contextualSpacing/>
      </w:pPr>
      <w:r w:rsidRPr="000411B1">
        <w:rPr>
          <w:b/>
        </w:rPr>
        <w:t>Signs and symptoms for the disease it produces</w:t>
      </w:r>
      <w:r w:rsidRPr="000411B1">
        <w:t xml:space="preserve">. </w:t>
      </w:r>
    </w:p>
    <w:p w:rsidR="000411B1" w:rsidRPr="00255141" w:rsidRDefault="000411B1" w:rsidP="000411B1">
      <w:pPr>
        <w:tabs>
          <w:tab w:val="left" w:pos="450"/>
          <w:tab w:val="left" w:pos="630"/>
        </w:tabs>
        <w:ind w:left="450"/>
        <w:rPr>
          <w:rFonts w:ascii="Times New Roman" w:hAnsi="Times New Roman" w:cs="Times New Roman"/>
          <w:color w:val="000000" w:themeColor="text1"/>
        </w:rPr>
      </w:pPr>
      <w:r w:rsidRPr="00255141">
        <w:rPr>
          <w:rFonts w:ascii="Times New Roman" w:hAnsi="Times New Roman" w:cs="Times New Roman"/>
          <w:color w:val="000000" w:themeColor="text1"/>
        </w:rPr>
        <w:t xml:space="preserve">Constipation, </w:t>
      </w:r>
      <w:r w:rsidRPr="00255141">
        <w:rPr>
          <w:rFonts w:ascii="Times New Roman" w:hAnsi="Times New Roman" w:cs="Times New Roman"/>
          <w:b/>
          <w:color w:val="000000" w:themeColor="text1"/>
        </w:rPr>
        <w:t>inability to nurse (infants), difficulty opening jaw</w:t>
      </w:r>
      <w:r w:rsidRPr="00255141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255141">
        <w:rPr>
          <w:rFonts w:ascii="Times New Roman" w:hAnsi="Times New Roman" w:cs="Times New Roman"/>
          <w:color w:val="000000" w:themeColor="text1"/>
        </w:rPr>
        <w:t>trismus</w:t>
      </w:r>
      <w:proofErr w:type="spellEnd"/>
      <w:r w:rsidRPr="00255141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255141">
        <w:rPr>
          <w:rFonts w:ascii="Times New Roman" w:hAnsi="Times New Roman" w:cs="Times New Roman"/>
          <w:color w:val="000000" w:themeColor="text1"/>
        </w:rPr>
        <w:t>opisthotonus</w:t>
      </w:r>
      <w:proofErr w:type="spellEnd"/>
      <w:r w:rsidRPr="00255141">
        <w:rPr>
          <w:rFonts w:ascii="Times New Roman" w:hAnsi="Times New Roman" w:cs="Times New Roman"/>
          <w:color w:val="000000" w:themeColor="text1"/>
        </w:rPr>
        <w:t>, hyper-responsiveness, foul-smelling discharge from umbilical cord (infant)</w:t>
      </w:r>
    </w:p>
    <w:p w:rsidR="000411B1" w:rsidRPr="000411B1" w:rsidRDefault="000411B1" w:rsidP="000411B1">
      <w:pPr>
        <w:pStyle w:val="Default"/>
        <w:spacing w:after="170"/>
        <w:contextualSpacing/>
      </w:pPr>
    </w:p>
    <w:p w:rsidR="000411B1" w:rsidRPr="000411B1" w:rsidRDefault="000411B1" w:rsidP="000411B1">
      <w:pPr>
        <w:pStyle w:val="Default"/>
        <w:numPr>
          <w:ilvl w:val="0"/>
          <w:numId w:val="1"/>
        </w:numPr>
        <w:spacing w:after="170"/>
        <w:ind w:left="360" w:hanging="360"/>
        <w:contextualSpacing/>
      </w:pPr>
      <w:r w:rsidRPr="000411B1">
        <w:rPr>
          <w:b/>
        </w:rPr>
        <w:t>The source of infectious organism</w:t>
      </w:r>
      <w:r w:rsidRPr="000411B1">
        <w:t xml:space="preserve">. </w:t>
      </w:r>
    </w:p>
    <w:p w:rsidR="000411B1" w:rsidRPr="000411B1" w:rsidRDefault="000411B1" w:rsidP="000411B1">
      <w:pPr>
        <w:pStyle w:val="Default"/>
        <w:spacing w:after="170"/>
        <w:contextualSpacing/>
      </w:pPr>
    </w:p>
    <w:p w:rsidR="000411B1" w:rsidRPr="00255141" w:rsidRDefault="000411B1" w:rsidP="000411B1">
      <w:pPr>
        <w:ind w:firstLine="360"/>
        <w:rPr>
          <w:rFonts w:ascii="Times New Roman" w:hAnsi="Times New Roman" w:cs="Times New Roman"/>
          <w:color w:val="000000" w:themeColor="text1"/>
        </w:rPr>
      </w:pPr>
      <w:r w:rsidRPr="00255141">
        <w:rPr>
          <w:rFonts w:ascii="Times New Roman" w:hAnsi="Times New Roman" w:cs="Times New Roman"/>
          <w:color w:val="000000" w:themeColor="text1"/>
        </w:rPr>
        <w:t xml:space="preserve">C. </w:t>
      </w:r>
      <w:proofErr w:type="spellStart"/>
      <w:r w:rsidRPr="00255141">
        <w:rPr>
          <w:rFonts w:ascii="Times New Roman" w:hAnsi="Times New Roman" w:cs="Times New Roman"/>
          <w:color w:val="000000" w:themeColor="text1"/>
        </w:rPr>
        <w:t>tetani</w:t>
      </w:r>
      <w:proofErr w:type="spellEnd"/>
      <w:r w:rsidRPr="00255141">
        <w:rPr>
          <w:rFonts w:ascii="Times New Roman" w:hAnsi="Times New Roman" w:cs="Times New Roman"/>
          <w:color w:val="000000" w:themeColor="text1"/>
        </w:rPr>
        <w:t xml:space="preserve"> spores usually from soil</w:t>
      </w:r>
    </w:p>
    <w:p w:rsidR="000411B1" w:rsidRPr="000411B1" w:rsidRDefault="000411B1" w:rsidP="000411B1">
      <w:pPr>
        <w:pStyle w:val="Default"/>
        <w:spacing w:after="170"/>
        <w:contextualSpacing/>
      </w:pPr>
    </w:p>
    <w:p w:rsidR="000411B1" w:rsidRPr="000411B1" w:rsidRDefault="000411B1" w:rsidP="000411B1">
      <w:pPr>
        <w:pStyle w:val="Default"/>
        <w:numPr>
          <w:ilvl w:val="0"/>
          <w:numId w:val="1"/>
        </w:numPr>
        <w:spacing w:after="170"/>
        <w:ind w:left="360" w:hanging="360"/>
        <w:contextualSpacing/>
      </w:pPr>
      <w:r w:rsidRPr="000411B1">
        <w:rPr>
          <w:b/>
        </w:rPr>
        <w:t>The manner of exposure, route of infection, tissues that they reside and, where appropriate, transmission to others</w:t>
      </w:r>
      <w:r w:rsidRPr="000411B1">
        <w:t xml:space="preserve">. </w:t>
      </w:r>
    </w:p>
    <w:p w:rsidR="000411B1" w:rsidRPr="000411B1" w:rsidRDefault="000411B1" w:rsidP="000411B1">
      <w:pPr>
        <w:pStyle w:val="Default"/>
        <w:spacing w:after="170"/>
        <w:contextualSpacing/>
      </w:pPr>
    </w:p>
    <w:p w:rsidR="000411B1" w:rsidRPr="000411B1" w:rsidRDefault="000411B1" w:rsidP="000411B1">
      <w:pPr>
        <w:pStyle w:val="Default"/>
        <w:tabs>
          <w:tab w:val="left" w:pos="360"/>
        </w:tabs>
        <w:spacing w:after="170"/>
        <w:ind w:left="360"/>
        <w:contextualSpacing/>
      </w:pPr>
      <w:r w:rsidRPr="00255141">
        <w:rPr>
          <w:color w:val="000000" w:themeColor="text1"/>
        </w:rPr>
        <w:t xml:space="preserve">ubiquitous in the soil and GI tracts of animals; transmission occurs via injury and trauma where wound is in contact with the soil; in infants, if the mother is not vaccinated protective </w:t>
      </w:r>
      <w:proofErr w:type="spellStart"/>
      <w:r w:rsidRPr="00255141">
        <w:rPr>
          <w:color w:val="000000" w:themeColor="text1"/>
        </w:rPr>
        <w:t>IgG</w:t>
      </w:r>
      <w:proofErr w:type="spellEnd"/>
      <w:r w:rsidRPr="00255141">
        <w:rPr>
          <w:color w:val="000000" w:themeColor="text1"/>
        </w:rPr>
        <w:t xml:space="preserve"> antibodies against tetanus will not be passed across the placenta. Some cultures like to put clay on the umbilical stump, which can have tetanus in it. I am pretty sure we learned not to belittle other cultures in CDM.  </w:t>
      </w:r>
      <w:r w:rsidRPr="000411B1">
        <w:t>.</w:t>
      </w:r>
    </w:p>
    <w:p w:rsidR="000411B1" w:rsidRPr="000411B1" w:rsidRDefault="000411B1" w:rsidP="000411B1">
      <w:pPr>
        <w:pStyle w:val="Default"/>
        <w:spacing w:after="170"/>
        <w:contextualSpacing/>
      </w:pPr>
    </w:p>
    <w:p w:rsidR="000411B1" w:rsidRPr="000411B1" w:rsidRDefault="000411B1" w:rsidP="000411B1">
      <w:pPr>
        <w:pStyle w:val="Default"/>
        <w:numPr>
          <w:ilvl w:val="0"/>
          <w:numId w:val="1"/>
        </w:numPr>
        <w:spacing w:after="170"/>
        <w:ind w:left="360" w:hanging="360"/>
        <w:contextualSpacing/>
      </w:pPr>
      <w:r w:rsidRPr="000411B1">
        <w:rPr>
          <w:b/>
        </w:rPr>
        <w:t>The pathology and the manner by which the particular disease develops and/or is induced, including damage caused by the pathogen and damage caused by the immune system’s response to the pathogen</w:t>
      </w:r>
      <w:r w:rsidRPr="000411B1">
        <w:t xml:space="preserve">. </w:t>
      </w:r>
    </w:p>
    <w:p w:rsidR="000411B1" w:rsidRPr="000411B1" w:rsidRDefault="000411B1" w:rsidP="000411B1">
      <w:pPr>
        <w:pStyle w:val="Default"/>
        <w:spacing w:after="170"/>
        <w:contextualSpacing/>
      </w:pPr>
    </w:p>
    <w:p w:rsidR="000411B1" w:rsidRDefault="000411B1" w:rsidP="000411B1">
      <w:pPr>
        <w:ind w:left="360"/>
        <w:rPr>
          <w:rFonts w:ascii="Times New Roman" w:hAnsi="Times New Roman" w:cs="Times New Roman"/>
          <w:color w:val="000000" w:themeColor="text1"/>
        </w:rPr>
      </w:pPr>
      <w:r w:rsidRPr="00255141">
        <w:rPr>
          <w:rFonts w:ascii="Times New Roman" w:hAnsi="Times New Roman" w:cs="Times New Roman"/>
          <w:color w:val="000000" w:themeColor="text1"/>
        </w:rPr>
        <w:t xml:space="preserve">once the toxin is synthesized, it moves from the entry site to the peripheral motor neuron terminals, enters the axon </w:t>
      </w:r>
      <w:r w:rsidRPr="00255141">
        <w:rPr>
          <w:rFonts w:ascii="Times New Roman" w:hAnsi="Times New Roman" w:cs="Times New Roman"/>
          <w:b/>
          <w:color w:val="000000" w:themeColor="text1"/>
        </w:rPr>
        <w:t>and travels to the spinal cord</w:t>
      </w:r>
      <w:r w:rsidRPr="00255141">
        <w:rPr>
          <w:rFonts w:ascii="Times New Roman" w:hAnsi="Times New Roman" w:cs="Times New Roman"/>
          <w:color w:val="000000" w:themeColor="text1"/>
        </w:rPr>
        <w:t xml:space="preserve">; then diffuses to terminals of neurons; </w:t>
      </w:r>
      <w:proofErr w:type="spellStart"/>
      <w:r w:rsidRPr="00255141">
        <w:rPr>
          <w:rFonts w:ascii="Times New Roman" w:hAnsi="Times New Roman" w:cs="Times New Roman"/>
          <w:b/>
          <w:color w:val="000000" w:themeColor="text1"/>
        </w:rPr>
        <w:t>tetanospasmin</w:t>
      </w:r>
      <w:proofErr w:type="spellEnd"/>
      <w:r w:rsidRPr="00255141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 xml:space="preserve">is a Zn++-dependent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endopeptidase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, that </w:t>
      </w:r>
      <w:r w:rsidRPr="00255141">
        <w:rPr>
          <w:rFonts w:ascii="Times New Roman" w:hAnsi="Times New Roman" w:cs="Times New Roman"/>
          <w:b/>
          <w:color w:val="000000" w:themeColor="text1"/>
        </w:rPr>
        <w:t xml:space="preserve">cleaves </w:t>
      </w:r>
      <w:proofErr w:type="spellStart"/>
      <w:r w:rsidRPr="00255141">
        <w:rPr>
          <w:rFonts w:ascii="Times New Roman" w:hAnsi="Times New Roman" w:cs="Times New Roman"/>
          <w:b/>
          <w:color w:val="000000" w:themeColor="text1"/>
        </w:rPr>
        <w:t>synaptobrevin</w:t>
      </w:r>
      <w:proofErr w:type="spellEnd"/>
      <w:r w:rsidRPr="00255141">
        <w:rPr>
          <w:rFonts w:ascii="Times New Roman" w:hAnsi="Times New Roman" w:cs="Times New Roman"/>
          <w:b/>
          <w:color w:val="000000" w:themeColor="text1"/>
        </w:rPr>
        <w:t xml:space="preserve"> which is critical in docking and fusing the vesicle containing inhibitory neurotransmitters glycine and gamma-</w:t>
      </w:r>
      <w:proofErr w:type="spellStart"/>
      <w:r w:rsidRPr="00255141">
        <w:rPr>
          <w:rFonts w:ascii="Times New Roman" w:hAnsi="Times New Roman" w:cs="Times New Roman"/>
          <w:b/>
          <w:color w:val="000000" w:themeColor="text1"/>
        </w:rPr>
        <w:t>aminobutyric</w:t>
      </w:r>
      <w:proofErr w:type="spellEnd"/>
      <w:r w:rsidRPr="00255141">
        <w:rPr>
          <w:rFonts w:ascii="Times New Roman" w:hAnsi="Times New Roman" w:cs="Times New Roman"/>
          <w:b/>
          <w:color w:val="000000" w:themeColor="text1"/>
        </w:rPr>
        <w:t xml:space="preserve"> acid</w:t>
      </w:r>
      <w:r>
        <w:rPr>
          <w:rFonts w:ascii="Times New Roman" w:hAnsi="Times New Roman" w:cs="Times New Roman"/>
          <w:color w:val="000000" w:themeColor="text1"/>
        </w:rPr>
        <w:t>.</w:t>
      </w:r>
      <w:r w:rsidRPr="00255141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This</w:t>
      </w:r>
      <w:r w:rsidRPr="00255141">
        <w:rPr>
          <w:rFonts w:ascii="Times New Roman" w:hAnsi="Times New Roman" w:cs="Times New Roman"/>
          <w:color w:val="000000" w:themeColor="text1"/>
        </w:rPr>
        <w:t xml:space="preserve"> leaves lower motor neurons uninhibited and results in muscle rigidity</w:t>
      </w:r>
    </w:p>
    <w:p w:rsidR="000411B1" w:rsidRDefault="000411B1" w:rsidP="000411B1">
      <w:pPr>
        <w:ind w:left="360"/>
        <w:rPr>
          <w:rFonts w:ascii="Times New Roman" w:hAnsi="Times New Roman" w:cs="Times New Roman"/>
          <w:color w:val="000000" w:themeColor="text1"/>
        </w:rPr>
      </w:pPr>
    </w:p>
    <w:p w:rsidR="000411B1" w:rsidRPr="00255141" w:rsidRDefault="000411B1" w:rsidP="000411B1">
      <w:pPr>
        <w:ind w:left="3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ANS involvement also results in a </w:t>
      </w:r>
      <w:proofErr w:type="spellStart"/>
      <w:r>
        <w:rPr>
          <w:rFonts w:ascii="Times New Roman" w:hAnsi="Times New Roman" w:cs="Times New Roman"/>
          <w:color w:val="000000" w:themeColor="text1"/>
        </w:rPr>
        <w:t>hypersympathetic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state caused by the uninhibited release of adrenal </w:t>
      </w:r>
      <w:proofErr w:type="spellStart"/>
      <w:r>
        <w:rPr>
          <w:rFonts w:ascii="Times New Roman" w:hAnsi="Times New Roman" w:cs="Times New Roman"/>
          <w:color w:val="000000" w:themeColor="text1"/>
        </w:rPr>
        <w:t>catecholamines</w:t>
      </w:r>
      <w:proofErr w:type="spellEnd"/>
      <w:r>
        <w:rPr>
          <w:rFonts w:ascii="Times New Roman" w:hAnsi="Times New Roman" w:cs="Times New Roman"/>
          <w:color w:val="000000" w:themeColor="text1"/>
        </w:rPr>
        <w:t>.</w:t>
      </w:r>
    </w:p>
    <w:p w:rsidR="000411B1" w:rsidRPr="000411B1" w:rsidRDefault="000411B1" w:rsidP="000411B1">
      <w:pPr>
        <w:pStyle w:val="Default"/>
        <w:spacing w:after="170"/>
        <w:contextualSpacing/>
      </w:pPr>
    </w:p>
    <w:p w:rsidR="000411B1" w:rsidRPr="000411B1" w:rsidRDefault="000411B1" w:rsidP="000411B1">
      <w:pPr>
        <w:pStyle w:val="Default"/>
        <w:numPr>
          <w:ilvl w:val="0"/>
          <w:numId w:val="1"/>
        </w:numPr>
        <w:ind w:left="360" w:hanging="360"/>
        <w:contextualSpacing/>
      </w:pPr>
      <w:r w:rsidRPr="000411B1">
        <w:rPr>
          <w:b/>
        </w:rPr>
        <w:t>Methods of identification and placement into a particular biological subset</w:t>
      </w:r>
      <w:r w:rsidRPr="000411B1">
        <w:t>.</w:t>
      </w:r>
    </w:p>
    <w:p w:rsidR="000411B1" w:rsidRPr="000411B1" w:rsidRDefault="000411B1" w:rsidP="000411B1">
      <w:pPr>
        <w:pStyle w:val="Default"/>
        <w:contextualSpacing/>
      </w:pPr>
    </w:p>
    <w:p w:rsidR="000411B1" w:rsidRPr="000411B1" w:rsidRDefault="000411B1" w:rsidP="000411B1">
      <w:pPr>
        <w:tabs>
          <w:tab w:val="left" w:pos="810"/>
        </w:tabs>
        <w:ind w:left="360"/>
        <w:rPr>
          <w:color w:val="000000" w:themeColor="text1"/>
        </w:rPr>
      </w:pPr>
      <w:r>
        <w:t xml:space="preserve">Mostly a clinical diagnosis. </w:t>
      </w:r>
      <w:r w:rsidRPr="00255141">
        <w:rPr>
          <w:color w:val="000000" w:themeColor="text1"/>
        </w:rPr>
        <w:t>can do cultures of the umbilical stump in infants, but culture rarely grows the causative agent; gram+ rod that forms terminal spores</w:t>
      </w:r>
    </w:p>
    <w:p w:rsidR="000411B1" w:rsidRPr="000411B1" w:rsidRDefault="000411B1" w:rsidP="000411B1">
      <w:pPr>
        <w:pStyle w:val="Default"/>
        <w:contextualSpacing/>
      </w:pPr>
    </w:p>
    <w:p w:rsidR="000411B1" w:rsidRPr="000411B1" w:rsidRDefault="000411B1" w:rsidP="000411B1">
      <w:pPr>
        <w:pStyle w:val="Default"/>
        <w:numPr>
          <w:ilvl w:val="0"/>
          <w:numId w:val="1"/>
        </w:numPr>
        <w:ind w:left="360" w:hanging="360"/>
        <w:contextualSpacing/>
      </w:pPr>
      <w:r w:rsidRPr="000411B1">
        <w:rPr>
          <w:b/>
        </w:rPr>
        <w:t>Factors leading to enhanced resistance or susceptibility.</w:t>
      </w:r>
    </w:p>
    <w:p w:rsidR="000411B1" w:rsidRDefault="000411B1" w:rsidP="000411B1">
      <w:pPr>
        <w:pStyle w:val="Default"/>
        <w:contextualSpacing/>
      </w:pPr>
    </w:p>
    <w:p w:rsidR="000411B1" w:rsidRDefault="000411B1" w:rsidP="000411B1">
      <w:pPr>
        <w:pStyle w:val="Default"/>
        <w:ind w:left="360"/>
        <w:contextualSpacing/>
      </w:pPr>
      <w:r>
        <w:t>The unvaccinated are at risk. In the US most cases are a result from acute injury and trauma where the wound is contaminated with soil.</w:t>
      </w:r>
    </w:p>
    <w:p w:rsidR="000411B1" w:rsidRPr="000411B1" w:rsidRDefault="000411B1" w:rsidP="000411B1">
      <w:pPr>
        <w:pStyle w:val="Default"/>
        <w:ind w:left="360"/>
        <w:contextualSpacing/>
      </w:pPr>
    </w:p>
    <w:p w:rsidR="000411B1" w:rsidRPr="000411B1" w:rsidRDefault="000411B1" w:rsidP="000411B1">
      <w:pPr>
        <w:pStyle w:val="Default"/>
        <w:numPr>
          <w:ilvl w:val="0"/>
          <w:numId w:val="1"/>
        </w:numPr>
        <w:ind w:left="360" w:hanging="360"/>
        <w:contextualSpacing/>
      </w:pPr>
      <w:r w:rsidRPr="000411B1">
        <w:rPr>
          <w:b/>
        </w:rPr>
        <w:t>Other organisms in the differential diagnosis and how to discriminate among potential causative agents</w:t>
      </w:r>
      <w:r w:rsidRPr="000411B1">
        <w:t xml:space="preserve">. </w:t>
      </w:r>
    </w:p>
    <w:p w:rsidR="000411B1" w:rsidRPr="000411B1" w:rsidRDefault="000411B1" w:rsidP="000411B1">
      <w:pPr>
        <w:pStyle w:val="Default"/>
        <w:contextualSpacing/>
      </w:pPr>
    </w:p>
    <w:p w:rsidR="000411B1" w:rsidRDefault="000411B1" w:rsidP="000411B1">
      <w:pPr>
        <w:pStyle w:val="Default"/>
        <w:numPr>
          <w:ilvl w:val="0"/>
          <w:numId w:val="6"/>
        </w:numPr>
        <w:contextualSpacing/>
      </w:pPr>
      <w:r>
        <w:t>Dystonic reaction to dopamine blocker</w:t>
      </w:r>
    </w:p>
    <w:p w:rsidR="000411B1" w:rsidRDefault="000411B1" w:rsidP="000411B1">
      <w:pPr>
        <w:pStyle w:val="Default"/>
        <w:numPr>
          <w:ilvl w:val="0"/>
          <w:numId w:val="6"/>
        </w:numPr>
        <w:contextualSpacing/>
      </w:pPr>
      <w:r>
        <w:lastRenderedPageBreak/>
        <w:t>Meningitis (bacterial or viral)</w:t>
      </w:r>
    </w:p>
    <w:p w:rsidR="000411B1" w:rsidRDefault="000411B1" w:rsidP="000411B1">
      <w:pPr>
        <w:pStyle w:val="Default"/>
        <w:numPr>
          <w:ilvl w:val="0"/>
          <w:numId w:val="6"/>
        </w:numPr>
        <w:contextualSpacing/>
      </w:pPr>
      <w:r>
        <w:t>Neurologic disorder (infectious or noninfectious cause)</w:t>
      </w:r>
    </w:p>
    <w:p w:rsidR="000411B1" w:rsidRDefault="000411B1" w:rsidP="000411B1">
      <w:pPr>
        <w:pStyle w:val="Default"/>
        <w:numPr>
          <w:ilvl w:val="0"/>
          <w:numId w:val="6"/>
        </w:numPr>
        <w:contextualSpacing/>
      </w:pPr>
      <w:r>
        <w:t>Sepsis</w:t>
      </w:r>
    </w:p>
    <w:p w:rsidR="000411B1" w:rsidRDefault="000411B1" w:rsidP="000411B1">
      <w:pPr>
        <w:pStyle w:val="Default"/>
        <w:numPr>
          <w:ilvl w:val="0"/>
          <w:numId w:val="6"/>
        </w:numPr>
        <w:contextualSpacing/>
      </w:pPr>
      <w:r>
        <w:t>Strychnine poisoning</w:t>
      </w:r>
    </w:p>
    <w:p w:rsidR="000411B1" w:rsidRDefault="000411B1" w:rsidP="000411B1">
      <w:pPr>
        <w:pStyle w:val="Default"/>
        <w:ind w:left="720"/>
        <w:contextualSpacing/>
      </w:pPr>
    </w:p>
    <w:p w:rsidR="000411B1" w:rsidRDefault="000411B1" w:rsidP="000411B1">
      <w:pPr>
        <w:pStyle w:val="Default"/>
        <w:ind w:left="360"/>
        <w:contextualSpacing/>
      </w:pPr>
      <w:r>
        <w:t>The symptoms presented here have a very limited differential in neonates. Dystonic reactions this severe would not be common and are caused by only a limited number of drugs. Meningitis would be expected to cause lethargy rather than paralysis. Need to rule out strychnine poisoning.</w:t>
      </w:r>
    </w:p>
    <w:p w:rsidR="000411B1" w:rsidRPr="000411B1" w:rsidRDefault="000411B1" w:rsidP="000411B1">
      <w:pPr>
        <w:pStyle w:val="Default"/>
        <w:ind w:left="720"/>
        <w:contextualSpacing/>
      </w:pPr>
    </w:p>
    <w:p w:rsidR="000411B1" w:rsidRDefault="000411B1" w:rsidP="000411B1">
      <w:pPr>
        <w:pStyle w:val="Default"/>
        <w:numPr>
          <w:ilvl w:val="0"/>
          <w:numId w:val="1"/>
        </w:numPr>
        <w:ind w:left="360" w:hanging="360"/>
        <w:contextualSpacing/>
      </w:pPr>
      <w:r w:rsidRPr="000411B1">
        <w:rPr>
          <w:b/>
        </w:rPr>
        <w:t>Prevention, treatment and vaccine design (live vs. dead</w:t>
      </w:r>
      <w:r w:rsidRPr="000411B1">
        <w:t xml:space="preserve">). </w:t>
      </w:r>
    </w:p>
    <w:p w:rsidR="00F515D9" w:rsidRPr="000411B1" w:rsidRDefault="00F515D9" w:rsidP="00F515D9">
      <w:pPr>
        <w:pStyle w:val="Default"/>
        <w:ind w:left="360"/>
        <w:contextualSpacing/>
      </w:pPr>
    </w:p>
    <w:p w:rsidR="008C6251" w:rsidRDefault="00F515D9" w:rsidP="00F515D9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Prevention: </w:t>
      </w:r>
      <w:proofErr w:type="spellStart"/>
      <w:r>
        <w:rPr>
          <w:rFonts w:ascii="Times New Roman" w:hAnsi="Times New Roman" w:cs="Times New Roman"/>
        </w:rPr>
        <w:t>DTaP</w:t>
      </w:r>
      <w:proofErr w:type="spellEnd"/>
      <w:r>
        <w:rPr>
          <w:rFonts w:ascii="Times New Roman" w:hAnsi="Times New Roman" w:cs="Times New Roman"/>
        </w:rPr>
        <w:t xml:space="preserve"> vaccine – 2, 4, 6 </w:t>
      </w:r>
      <w:proofErr w:type="spellStart"/>
      <w:r>
        <w:rPr>
          <w:rFonts w:ascii="Times New Roman" w:hAnsi="Times New Roman" w:cs="Times New Roman"/>
        </w:rPr>
        <w:t>mos</w:t>
      </w:r>
      <w:proofErr w:type="spellEnd"/>
      <w:r>
        <w:rPr>
          <w:rFonts w:ascii="Times New Roman" w:hAnsi="Times New Roman" w:cs="Times New Roman"/>
        </w:rPr>
        <w:t xml:space="preserve"> then 15-18 </w:t>
      </w:r>
      <w:proofErr w:type="spellStart"/>
      <w:r>
        <w:rPr>
          <w:rFonts w:ascii="Times New Roman" w:hAnsi="Times New Roman" w:cs="Times New Roman"/>
        </w:rPr>
        <w:t>mos</w:t>
      </w:r>
      <w:proofErr w:type="spellEnd"/>
      <w:r>
        <w:rPr>
          <w:rFonts w:ascii="Times New Roman" w:hAnsi="Times New Roman" w:cs="Times New Roman"/>
        </w:rPr>
        <w:t xml:space="preserve"> and then another age 4-6. Followed by routine boosters every 10 years with </w:t>
      </w:r>
      <w:proofErr w:type="spellStart"/>
      <w:r>
        <w:rPr>
          <w:rFonts w:ascii="Times New Roman" w:hAnsi="Times New Roman" w:cs="Times New Roman"/>
        </w:rPr>
        <w:t>Tdap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F515D9" w:rsidRDefault="00F515D9" w:rsidP="00F515D9">
      <w:pPr>
        <w:ind w:left="360"/>
        <w:rPr>
          <w:rFonts w:ascii="Times New Roman" w:hAnsi="Times New Roman" w:cs="Times New Roman"/>
        </w:rPr>
      </w:pPr>
    </w:p>
    <w:p w:rsidR="00F515D9" w:rsidRPr="000411B1" w:rsidRDefault="00F515D9" w:rsidP="00F515D9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Treatment: most important to maintain the airway and intubate if necessary. A feeding tube should be place as high caloric demands are required. </w:t>
      </w:r>
      <w:proofErr w:type="spellStart"/>
      <w:r>
        <w:rPr>
          <w:rFonts w:ascii="Times New Roman" w:hAnsi="Times New Roman" w:cs="Times New Roman"/>
        </w:rPr>
        <w:t>Benzodaizepines</w:t>
      </w:r>
      <w:proofErr w:type="spellEnd"/>
      <w:r>
        <w:rPr>
          <w:rFonts w:ascii="Times New Roman" w:hAnsi="Times New Roman" w:cs="Times New Roman"/>
        </w:rPr>
        <w:t xml:space="preserve"> are used as needed to control spasms and rigidity. Beta-blockers can be used to control sympathetic hyperactivity. Passive immunization with human tetanus </w:t>
      </w:r>
      <w:proofErr w:type="spellStart"/>
      <w:r>
        <w:rPr>
          <w:rFonts w:ascii="Times New Roman" w:hAnsi="Times New Roman" w:cs="Times New Roman"/>
        </w:rPr>
        <w:t>Ig</w:t>
      </w:r>
      <w:proofErr w:type="spellEnd"/>
      <w:r>
        <w:rPr>
          <w:rFonts w:ascii="Times New Roman" w:hAnsi="Times New Roman" w:cs="Times New Roman"/>
        </w:rPr>
        <w:t xml:space="preserve"> should be administered in addition to active immunization w/ tetanus toxoid. Metronidazole is DOC </w:t>
      </w:r>
      <w:proofErr w:type="spellStart"/>
      <w:proofErr w:type="gramStart"/>
      <w:r>
        <w:rPr>
          <w:rFonts w:ascii="Times New Roman" w:hAnsi="Times New Roman" w:cs="Times New Roman"/>
        </w:rPr>
        <w:t>bc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peniciliin</w:t>
      </w:r>
      <w:proofErr w:type="spellEnd"/>
      <w:r>
        <w:rPr>
          <w:rFonts w:ascii="Times New Roman" w:hAnsi="Times New Roman" w:cs="Times New Roman"/>
        </w:rPr>
        <w:t xml:space="preserve"> may act as a GABA antagonist. </w:t>
      </w:r>
      <w:bookmarkStart w:id="0" w:name="_GoBack"/>
      <w:bookmarkEnd w:id="0"/>
    </w:p>
    <w:sectPr w:rsidR="00F515D9" w:rsidRPr="000411B1" w:rsidSect="000411B1">
      <w:pgSz w:w="12240" w:h="16340"/>
      <w:pgMar w:top="1851" w:right="799" w:bottom="653" w:left="121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2162A"/>
    <w:multiLevelType w:val="hybridMultilevel"/>
    <w:tmpl w:val="7DF6A2D8"/>
    <w:lvl w:ilvl="0" w:tplc="DC7ABA7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85E1E"/>
    <w:multiLevelType w:val="hybridMultilevel"/>
    <w:tmpl w:val="7737775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2E84894"/>
    <w:multiLevelType w:val="hybridMultilevel"/>
    <w:tmpl w:val="547A6594"/>
    <w:lvl w:ilvl="0" w:tplc="2A7C5ED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D0ACF"/>
    <w:multiLevelType w:val="hybridMultilevel"/>
    <w:tmpl w:val="99A278EE"/>
    <w:lvl w:ilvl="0" w:tplc="89E8E8F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470B8"/>
    <w:multiLevelType w:val="hybridMultilevel"/>
    <w:tmpl w:val="81C84E4E"/>
    <w:lvl w:ilvl="0" w:tplc="F8A6C27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623FF2"/>
    <w:multiLevelType w:val="hybridMultilevel"/>
    <w:tmpl w:val="A290DD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B1"/>
    <w:rsid w:val="000411B1"/>
    <w:rsid w:val="008C6251"/>
    <w:rsid w:val="00A72D72"/>
    <w:rsid w:val="00E600D8"/>
    <w:rsid w:val="00F5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A5C68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1B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11B1"/>
    <w:pPr>
      <w:widowControl w:val="0"/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1B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11B1"/>
    <w:pPr>
      <w:widowControl w:val="0"/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492</Words>
  <Characters>2811</Characters>
  <Application>Microsoft Macintosh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Wong</dc:creator>
  <cp:keywords/>
  <dc:description/>
  <cp:lastModifiedBy>Philip Wong</cp:lastModifiedBy>
  <cp:revision>1</cp:revision>
  <dcterms:created xsi:type="dcterms:W3CDTF">2012-09-22T04:08:00Z</dcterms:created>
  <dcterms:modified xsi:type="dcterms:W3CDTF">2012-09-22T04:29:00Z</dcterms:modified>
</cp:coreProperties>
</file>